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7E1" w:rsidRDefault="00D247E1" w:rsidP="00D247E1">
      <w:pPr>
        <w:pStyle w:val="TITLEPARAGRAPH"/>
      </w:pPr>
      <w:bookmarkStart w:id="0" w:name="_GoBack"/>
      <w:bookmarkEnd w:id="0"/>
      <w:r>
        <w:t>ATTACHMENT</w:t>
      </w:r>
    </w:p>
    <w:p w:rsidR="00D247E1" w:rsidRDefault="00D247E1" w:rsidP="00D247E1">
      <w:pPr>
        <w:pStyle w:val="TITLEPARAGRAPH"/>
      </w:pPr>
      <w:r>
        <w:t>Text of Proposed Amendment to 19 TAC</w:t>
      </w:r>
    </w:p>
    <w:p w:rsidR="001714DB" w:rsidRDefault="001714DB">
      <w:pPr>
        <w:pStyle w:val="CHAPTERORSUBCHAPTE"/>
      </w:pPr>
      <w:r>
        <w:t xml:space="preserve">Chapter 74. </w:t>
      </w:r>
      <w:smartTag w:uri="urn:schemas-microsoft-com:office:smarttags" w:element="PersonName">
        <w:r>
          <w:t>Curriculum</w:t>
        </w:r>
      </w:smartTag>
      <w:r>
        <w:t xml:space="preserve"> Requirements</w:t>
      </w:r>
    </w:p>
    <w:p w:rsidR="001714DB" w:rsidRDefault="001714DB">
      <w:pPr>
        <w:pStyle w:val="CHAPTERORSUBCHAPTE"/>
      </w:pPr>
      <w:r>
        <w:t xml:space="preserve">Subchapter A. Required </w:t>
      </w:r>
      <w:smartTag w:uri="urn:schemas-microsoft-com:office:smarttags" w:element="PersonName">
        <w:r>
          <w:t>Curriculum</w:t>
        </w:r>
      </w:smartTag>
    </w:p>
    <w:p w:rsidR="00D532E0" w:rsidRPr="00D532E0" w:rsidRDefault="00D532E0" w:rsidP="00D532E0">
      <w:pPr>
        <w:pStyle w:val="SECTIONHEADING"/>
      </w:pPr>
      <w:r w:rsidRPr="00D532E0">
        <w:t>§74.6. College and Career Readiness and Texas Essential Knowledge and Skills Alignment.</w:t>
      </w:r>
    </w:p>
    <w:p w:rsidR="00D532E0" w:rsidRDefault="00D532E0" w:rsidP="00D532E0">
      <w:pPr>
        <w:pStyle w:val="SUBSECTIONa0"/>
      </w:pPr>
      <w:r>
        <w:t>(a)</w:t>
      </w:r>
      <w:r>
        <w:tab/>
        <w:t>In accordance with the Texas Education Code, §28.008, the State Board of Education shall incorporate College and Career Readiness Standards approved by the commissioner of education and the Texas Higher Education Coordinating Board into the essential knowledge and skills and indicate the alignment of the College and Career Readiness Standards with the essential knowledge and skills.</w:t>
      </w:r>
    </w:p>
    <w:p w:rsidR="00D532E0" w:rsidRDefault="00D532E0" w:rsidP="00D532E0">
      <w:pPr>
        <w:pStyle w:val="SUBSECTIONa0"/>
      </w:pPr>
      <w:r w:rsidRPr="00B84AEC">
        <w:t>(b)</w:t>
      </w:r>
      <w:r>
        <w:tab/>
        <w:t>The figure in this subsection identifies the alignment of the College and Career Readiness Standards for mathematics with the essential knowledge and skills.</w:t>
      </w:r>
    </w:p>
    <w:p w:rsidR="00D532E0" w:rsidRDefault="00D247E1" w:rsidP="00D532E0">
      <w:pPr>
        <w:pStyle w:val="PARAGRAPH10"/>
      </w:pPr>
      <w:r w:rsidRPr="00D247E1">
        <w:rPr>
          <w:u w:val="single"/>
        </w:rPr>
        <w:t>Figure: 19 TAC §74.6(</w:t>
      </w:r>
      <w:r w:rsidR="00B84AEC">
        <w:rPr>
          <w:u w:val="single"/>
        </w:rPr>
        <w:t>b</w:t>
      </w:r>
      <w:r w:rsidRPr="00D247E1">
        <w:rPr>
          <w:u w:val="single"/>
        </w:rPr>
        <w:t>)</w:t>
      </w:r>
      <w:r>
        <w:t xml:space="preserve"> [</w:t>
      </w:r>
      <w:r w:rsidR="00D532E0" w:rsidRPr="00D247E1">
        <w:rPr>
          <w:strike/>
          <w:u w:val="single"/>
        </w:rPr>
        <w:t>Figure: 19 TAC §74.6(b)</w:t>
      </w:r>
      <w:r>
        <w:t>]</w:t>
      </w:r>
    </w:p>
    <w:p w:rsidR="00D532E0" w:rsidRDefault="00D532E0" w:rsidP="00D532E0">
      <w:pPr>
        <w:pStyle w:val="SUBSECTIONa0"/>
      </w:pPr>
      <w:r w:rsidRPr="00B84AEC">
        <w:t>(c)</w:t>
      </w:r>
      <w:r>
        <w:tab/>
        <w:t>The figure in this subsection identifies the alignment of the College and Career Readiness Standards for science with the essential knowledge and skills.</w:t>
      </w:r>
    </w:p>
    <w:p w:rsidR="00D532E0" w:rsidRPr="00B84AEC" w:rsidRDefault="00D532E0" w:rsidP="00D532E0">
      <w:pPr>
        <w:pStyle w:val="PARAGRAPH10"/>
      </w:pPr>
      <w:r w:rsidRPr="00B84AEC">
        <w:t>Figure: 19 TAC §74.6(c)</w:t>
      </w:r>
    </w:p>
    <w:p w:rsidR="00D532E0" w:rsidRDefault="00D532E0" w:rsidP="00D532E0">
      <w:pPr>
        <w:pStyle w:val="SUBSECTIONa0"/>
      </w:pPr>
      <w:r w:rsidRPr="00B84AEC">
        <w:t>(d)</w:t>
      </w:r>
      <w:r>
        <w:tab/>
        <w:t>The figure in this subsection identifies the alignment of the College and Career Readiness Standards for social studies with the essential knowledge and skills.</w:t>
      </w:r>
    </w:p>
    <w:p w:rsidR="00D532E0" w:rsidRPr="00B84AEC" w:rsidRDefault="00D532E0" w:rsidP="00D532E0">
      <w:pPr>
        <w:pStyle w:val="PARAGRAPH10"/>
      </w:pPr>
      <w:r w:rsidRPr="00B84AEC">
        <w:t>Figure: 19 TAC §74.6(d)</w:t>
      </w:r>
    </w:p>
    <w:p w:rsidR="00D532E0" w:rsidRDefault="00D532E0" w:rsidP="00D532E0">
      <w:pPr>
        <w:pStyle w:val="SUBSECTIONa0"/>
      </w:pPr>
      <w:r w:rsidRPr="00B84AEC">
        <w:t>(e)</w:t>
      </w:r>
      <w:r>
        <w:tab/>
        <w:t>The figure in this subsection identifies the alignment of the College and Career Readiness Standards for cross-disciplinary studies with the essential knowledge and skills.</w:t>
      </w:r>
    </w:p>
    <w:p w:rsidR="00B84AEC" w:rsidRPr="00B84AEC" w:rsidRDefault="00D532E0" w:rsidP="00B84AEC">
      <w:pPr>
        <w:pStyle w:val="PARAGRAPH10"/>
      </w:pPr>
      <w:r w:rsidRPr="00B84AEC">
        <w:t>Figure: 19 TAC §74.6(e)</w:t>
      </w:r>
      <w:r w:rsidR="00B84AEC" w:rsidRPr="00B84AEC">
        <w:t xml:space="preserve"> </w:t>
      </w:r>
    </w:p>
    <w:p w:rsidR="00B84AEC" w:rsidRPr="0000371F" w:rsidRDefault="00B84AEC" w:rsidP="00B84AEC">
      <w:pPr>
        <w:pStyle w:val="SUBSECTIONa0"/>
        <w:rPr>
          <w:u w:val="single"/>
        </w:rPr>
      </w:pPr>
      <w:r w:rsidRPr="00D247E1">
        <w:rPr>
          <w:u w:val="single"/>
        </w:rPr>
        <w:t>(</w:t>
      </w:r>
      <w:r>
        <w:rPr>
          <w:u w:val="single"/>
        </w:rPr>
        <w:t>f</w:t>
      </w:r>
      <w:r w:rsidRPr="00D247E1">
        <w:rPr>
          <w:u w:val="single"/>
        </w:rPr>
        <w:t>)</w:t>
      </w:r>
      <w:r w:rsidRPr="00D247E1">
        <w:rPr>
          <w:u w:val="single"/>
        </w:rPr>
        <w:tab/>
      </w:r>
      <w:r w:rsidRPr="0000371F">
        <w:rPr>
          <w:u w:val="single"/>
        </w:rPr>
        <w:t xml:space="preserve">The figure in this subsection identifies the alignment of the College and Career Readiness Standards for English </w:t>
      </w:r>
      <w:r>
        <w:rPr>
          <w:u w:val="single"/>
        </w:rPr>
        <w:t xml:space="preserve">language arts </w:t>
      </w:r>
      <w:r w:rsidRPr="0000371F">
        <w:rPr>
          <w:u w:val="single"/>
        </w:rPr>
        <w:t>with the essential knowledge and skills.</w:t>
      </w:r>
    </w:p>
    <w:p w:rsidR="00B84AEC" w:rsidRPr="00D247E1" w:rsidRDefault="00B84AEC" w:rsidP="00B84AEC">
      <w:pPr>
        <w:pStyle w:val="PARAGRAPH10"/>
        <w:rPr>
          <w:u w:val="single"/>
        </w:rPr>
      </w:pPr>
      <w:r w:rsidRPr="0000371F">
        <w:rPr>
          <w:u w:val="single"/>
        </w:rPr>
        <w:t>Figure: 19 TAC §74.6(</w:t>
      </w:r>
      <w:r>
        <w:rPr>
          <w:u w:val="single"/>
        </w:rPr>
        <w:t>f</w:t>
      </w:r>
      <w:r w:rsidRPr="0000371F">
        <w:rPr>
          <w:u w:val="single"/>
        </w:rPr>
        <w:t>)</w:t>
      </w:r>
    </w:p>
    <w:p w:rsidR="00D532E0" w:rsidRDefault="00D532E0" w:rsidP="009805A6">
      <w:pPr>
        <w:pStyle w:val="PARAGRAPH10"/>
        <w:ind w:left="0" w:firstLine="0"/>
      </w:pPr>
    </w:p>
    <w:sectPr w:rsidR="00D532E0">
      <w:type w:val="continuous"/>
      <w:pgSz w:w="12240" w:h="15840" w:code="1"/>
      <w:pgMar w:top="1440" w:right="1440" w:bottom="1440" w:left="1440"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E05" w:rsidRDefault="00C43E05">
      <w:r>
        <w:separator/>
      </w:r>
    </w:p>
  </w:endnote>
  <w:endnote w:type="continuationSeparator" w:id="0">
    <w:p w:rsidR="00C43E05" w:rsidRDefault="00C43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E05" w:rsidRDefault="00C43E05">
      <w:r>
        <w:separator/>
      </w:r>
    </w:p>
  </w:footnote>
  <w:footnote w:type="continuationSeparator" w:id="0">
    <w:p w:rsidR="00C43E05" w:rsidRDefault="00C43E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AF"/>
    <w:multiLevelType w:val="singleLevel"/>
    <w:tmpl w:val="E864CEAE"/>
    <w:lvl w:ilvl="0">
      <w:start w:val="6"/>
      <w:numFmt w:val="upperLetter"/>
      <w:lvlText w:val="(%1)"/>
      <w:lvlJc w:val="left"/>
      <w:pPr>
        <w:tabs>
          <w:tab w:val="num" w:pos="2160"/>
        </w:tabs>
        <w:ind w:left="2160" w:hanging="720"/>
      </w:pPr>
      <w:rPr>
        <w:rFonts w:hint="default"/>
      </w:rPr>
    </w:lvl>
  </w:abstractNum>
  <w:abstractNum w:abstractNumId="1" w15:restartNumberingAfterBreak="0">
    <w:nsid w:val="4F024FAF"/>
    <w:multiLevelType w:val="singleLevel"/>
    <w:tmpl w:val="723E5484"/>
    <w:lvl w:ilvl="0">
      <w:start w:val="1"/>
      <w:numFmt w:val="lowerRoman"/>
      <w:lvlText w:val="(%1)"/>
      <w:lvlJc w:val="left"/>
      <w:pPr>
        <w:tabs>
          <w:tab w:val="num" w:pos="2880"/>
        </w:tabs>
        <w:ind w:left="2880" w:hanging="7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A98"/>
    <w:rsid w:val="000014FD"/>
    <w:rsid w:val="00054BFE"/>
    <w:rsid w:val="00065BAD"/>
    <w:rsid w:val="000742AE"/>
    <w:rsid w:val="00082A25"/>
    <w:rsid w:val="000B1200"/>
    <w:rsid w:val="001113B7"/>
    <w:rsid w:val="001714DB"/>
    <w:rsid w:val="001721E0"/>
    <w:rsid w:val="001F5F14"/>
    <w:rsid w:val="002C7994"/>
    <w:rsid w:val="00370164"/>
    <w:rsid w:val="003857B5"/>
    <w:rsid w:val="00387DDE"/>
    <w:rsid w:val="003E0446"/>
    <w:rsid w:val="003E7E97"/>
    <w:rsid w:val="003F4ABD"/>
    <w:rsid w:val="00480F20"/>
    <w:rsid w:val="004841B2"/>
    <w:rsid w:val="004A267D"/>
    <w:rsid w:val="004D16DD"/>
    <w:rsid w:val="00552D5F"/>
    <w:rsid w:val="005608EF"/>
    <w:rsid w:val="005C6EAF"/>
    <w:rsid w:val="00737CAF"/>
    <w:rsid w:val="0075435F"/>
    <w:rsid w:val="007779EF"/>
    <w:rsid w:val="007D72D1"/>
    <w:rsid w:val="0080440E"/>
    <w:rsid w:val="0089155A"/>
    <w:rsid w:val="008A1018"/>
    <w:rsid w:val="008B178A"/>
    <w:rsid w:val="00913E1E"/>
    <w:rsid w:val="009805A6"/>
    <w:rsid w:val="00A52296"/>
    <w:rsid w:val="00B3673E"/>
    <w:rsid w:val="00B57B0E"/>
    <w:rsid w:val="00B84AEC"/>
    <w:rsid w:val="00BF4238"/>
    <w:rsid w:val="00C044D5"/>
    <w:rsid w:val="00C43E05"/>
    <w:rsid w:val="00C55E25"/>
    <w:rsid w:val="00C76BFB"/>
    <w:rsid w:val="00C91A98"/>
    <w:rsid w:val="00CD4174"/>
    <w:rsid w:val="00D247E1"/>
    <w:rsid w:val="00D2619C"/>
    <w:rsid w:val="00D313D3"/>
    <w:rsid w:val="00D532E0"/>
    <w:rsid w:val="00DA1680"/>
    <w:rsid w:val="00DB5346"/>
    <w:rsid w:val="00E5549A"/>
    <w:rsid w:val="00F074B7"/>
    <w:rsid w:val="00F14E50"/>
    <w:rsid w:val="00F21018"/>
    <w:rsid w:val="00F47DBC"/>
    <w:rsid w:val="00FC73EB"/>
    <w:rsid w:val="00FD7EC6"/>
    <w:rsid w:val="00FE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3AB1AD29-9B4D-457F-8C97-E7E61B14D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3F4ABD"/>
    <w:pPr>
      <w:spacing w:after="160" w:line="259" w:lineRule="auto"/>
    </w:pPr>
    <w:rPr>
      <w:rFonts w:asciiTheme="minorHAnsi" w:eastAsiaTheme="minorHAnsi" w:hAnsiTheme="minorHAnsi" w:cstheme="minorBidi"/>
      <w:sz w:val="22"/>
      <w:szCs w:val="22"/>
    </w:rPr>
  </w:style>
  <w:style w:type="paragraph" w:styleId="Heading1">
    <w:name w:val="heading 1"/>
    <w:qFormat/>
    <w:pPr>
      <w:outlineLvl w:val="0"/>
    </w:pPr>
  </w:style>
  <w:style w:type="paragraph" w:styleId="Heading2">
    <w:name w:val="heading 2"/>
    <w:qFormat/>
    <w:pPr>
      <w:outlineLvl w:val="1"/>
    </w:pPr>
  </w:style>
  <w:style w:type="paragraph" w:styleId="Heading3">
    <w:name w:val="heading 3"/>
    <w:qFormat/>
    <w:pPr>
      <w:outlineLvl w:val="2"/>
    </w:pPr>
  </w:style>
  <w:style w:type="character" w:default="1" w:styleId="DefaultParagraphFont">
    <w:name w:val="Default Paragraph Font"/>
    <w:uiPriority w:val="1"/>
    <w:semiHidden/>
    <w:unhideWhenUsed/>
    <w:rsid w:val="003F4A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4ABD"/>
  </w:style>
  <w:style w:type="paragraph" w:styleId="Footer">
    <w:name w:val="footer"/>
    <w:basedOn w:val="Normal"/>
    <w:pPr>
      <w:tabs>
        <w:tab w:val="right" w:pos="9360"/>
      </w:tabs>
    </w:pPr>
  </w:style>
  <w:style w:type="paragraph" w:styleId="Header">
    <w:name w:val="header"/>
    <w:basedOn w:val="Normal"/>
    <w:pPr>
      <w:tabs>
        <w:tab w:val="right" w:pos="9360"/>
      </w:tabs>
    </w:pPr>
    <w:rPr>
      <w:b/>
    </w:rPr>
  </w:style>
  <w:style w:type="paragraph" w:styleId="NormalIndent">
    <w:name w:val="Normal Indent"/>
    <w:basedOn w:val="Normal"/>
    <w:pPr>
      <w:ind w:left="720"/>
    </w:pPr>
  </w:style>
  <w:style w:type="paragraph" w:customStyle="1" w:styleId="SUBSECTIONa">
    <w:name w:val="SUBSECTION (a)"/>
    <w:link w:val="SUBSECTIONaChar"/>
    <w:pPr>
      <w:tabs>
        <w:tab w:val="left" w:pos="720"/>
      </w:tabs>
      <w:spacing w:before="120"/>
      <w:ind w:left="720" w:hanging="720"/>
    </w:pPr>
  </w:style>
  <w:style w:type="paragraph" w:customStyle="1" w:styleId="PARAGRAPH1">
    <w:name w:val="PARAGRAPH (1)"/>
    <w:link w:val="PARAGRAPH1Char"/>
    <w:pPr>
      <w:tabs>
        <w:tab w:val="left" w:pos="1440"/>
      </w:tabs>
      <w:spacing w:before="120"/>
      <w:ind w:left="1440" w:hanging="720"/>
    </w:pPr>
  </w:style>
  <w:style w:type="paragraph" w:customStyle="1" w:styleId="SUBPARAGRAPHA">
    <w:name w:val="SUBPARAGRAPH (A)"/>
    <w:link w:val="SUBPARAGRAPHAChar"/>
    <w:pPr>
      <w:tabs>
        <w:tab w:val="left" w:pos="2160"/>
      </w:tabs>
      <w:spacing w:before="120"/>
      <w:ind w:left="2160" w:hanging="720"/>
    </w:pPr>
  </w:style>
  <w:style w:type="paragraph" w:customStyle="1" w:styleId="CLAUSEi">
    <w:name w:val="CLAUSE (i)"/>
    <w:pPr>
      <w:tabs>
        <w:tab w:val="left" w:pos="2880"/>
      </w:tabs>
      <w:spacing w:before="120"/>
      <w:ind w:left="2880" w:hanging="720"/>
    </w:pPr>
  </w:style>
  <w:style w:type="paragraph" w:customStyle="1" w:styleId="SECTIONHEADING">
    <w:name w:val="SECTION HEADING"/>
    <w:link w:val="SECTIONHEADINGChar"/>
    <w:pPr>
      <w:keepNext/>
      <w:spacing w:before="240"/>
    </w:pPr>
    <w:rPr>
      <w:b/>
    </w:rPr>
  </w:style>
  <w:style w:type="paragraph" w:customStyle="1" w:styleId="ITEM-a-">
    <w:name w:val="ITEM (-a-)"/>
    <w:pPr>
      <w:tabs>
        <w:tab w:val="left" w:pos="4320"/>
      </w:tabs>
      <w:spacing w:before="120"/>
      <w:ind w:left="4320" w:hanging="720"/>
    </w:pPr>
  </w:style>
  <w:style w:type="paragraph" w:customStyle="1" w:styleId="SUBITEM-1-">
    <w:name w:val="SUBITEM (-1-)"/>
    <w:pPr>
      <w:tabs>
        <w:tab w:val="left" w:pos="5040"/>
      </w:tabs>
      <w:spacing w:before="120"/>
      <w:ind w:left="5040" w:hanging="720"/>
    </w:pPr>
  </w:style>
  <w:style w:type="paragraph" w:customStyle="1" w:styleId="SOURCENOTE">
    <w:name w:val="SOURCE NOTE"/>
    <w:pPr>
      <w:spacing w:before="120"/>
    </w:pPr>
    <w:rPr>
      <w:i/>
    </w:rPr>
  </w:style>
  <w:style w:type="paragraph" w:customStyle="1" w:styleId="TOCCHAPTERS">
    <w:name w:val="TOC CHAPTERS"/>
    <w:pPr>
      <w:spacing w:before="240"/>
      <w:ind w:left="720" w:hanging="720"/>
    </w:pPr>
    <w:rPr>
      <w:sz w:val="24"/>
    </w:rPr>
  </w:style>
  <w:style w:type="paragraph" w:customStyle="1" w:styleId="UNNUMBEREDPARAGRAPH">
    <w:name w:val="UNNUMBERED PARAGRAPH"/>
    <w:pPr>
      <w:spacing w:before="120"/>
      <w:ind w:left="720"/>
    </w:pPr>
  </w:style>
  <w:style w:type="paragraph" w:customStyle="1" w:styleId="STATUTORYAUTHORITY">
    <w:name w:val="STATUTORY AUTHORITY"/>
    <w:pPr>
      <w:spacing w:before="120"/>
    </w:pPr>
    <w:rPr>
      <w:i/>
    </w:rPr>
  </w:style>
  <w:style w:type="paragraph" w:customStyle="1" w:styleId="TOCSUBCHAPTERS">
    <w:name w:val="TOC SUBCHAPTERS"/>
    <w:pPr>
      <w:spacing w:before="120"/>
      <w:ind w:left="1440" w:hanging="720"/>
    </w:pPr>
  </w:style>
  <w:style w:type="paragraph" w:customStyle="1" w:styleId="TOCUNHEADS">
    <w:name w:val="TOC UNHEADS"/>
    <w:pPr>
      <w:spacing w:before="120"/>
      <w:ind w:left="2160" w:hanging="720"/>
    </w:pPr>
  </w:style>
  <w:style w:type="paragraph" w:customStyle="1" w:styleId="CHAPTERORSUBCHAPTE">
    <w:name w:val="CHAPTER OR SUBCHAPTE"/>
    <w:pPr>
      <w:spacing w:before="240"/>
      <w:jc w:val="center"/>
    </w:pPr>
    <w:rPr>
      <w:b/>
      <w:sz w:val="24"/>
    </w:rPr>
  </w:style>
  <w:style w:type="paragraph" w:customStyle="1" w:styleId="CHTOC-CHAPTER">
    <w:name w:val="CHTOC-CHAPTER"/>
    <w:pPr>
      <w:spacing w:before="240"/>
      <w:jc w:val="center"/>
    </w:pPr>
    <w:rPr>
      <w:sz w:val="24"/>
    </w:rPr>
  </w:style>
  <w:style w:type="paragraph" w:customStyle="1" w:styleId="CHTOC-SECTION">
    <w:name w:val="CHTOC-SECTION"/>
    <w:pPr>
      <w:spacing w:before="120"/>
    </w:pPr>
  </w:style>
  <w:style w:type="paragraph" w:customStyle="1" w:styleId="SUBCLAUSEI">
    <w:name w:val="SUBCLAUSE (I)"/>
    <w:pPr>
      <w:tabs>
        <w:tab w:val="left" w:pos="3600"/>
      </w:tabs>
      <w:spacing w:before="120"/>
      <w:ind w:left="3600" w:hanging="720"/>
    </w:pPr>
  </w:style>
  <w:style w:type="paragraph" w:customStyle="1" w:styleId="TITLEPARAGRAPH">
    <w:name w:val="TITLE PARAGRAPH"/>
    <w:pPr>
      <w:jc w:val="center"/>
    </w:pPr>
    <w:rPr>
      <w:b/>
    </w:rPr>
  </w:style>
  <w:style w:type="paragraph" w:customStyle="1" w:styleId="STATUTORYCITATION">
    <w:name w:val="STATUTORY CITATION"/>
    <w:pPr>
      <w:spacing w:before="120"/>
    </w:pPr>
    <w:rPr>
      <w:i/>
    </w:rPr>
  </w:style>
  <w:style w:type="character" w:styleId="PageNumber">
    <w:name w:val="page number"/>
    <w:basedOn w:val="DefaultParagraphFont"/>
  </w:style>
  <w:style w:type="character" w:customStyle="1" w:styleId="PARAGRAPH1Char">
    <w:name w:val="PARAGRAPH (1) Char"/>
    <w:link w:val="PARAGRAPH1"/>
    <w:rsid w:val="004841B2"/>
    <w:rPr>
      <w:lang w:val="en-US" w:eastAsia="en-US" w:bidi="ar-SA"/>
    </w:rPr>
  </w:style>
  <w:style w:type="character" w:customStyle="1" w:styleId="SUBPARAGRAPHAChar">
    <w:name w:val="SUBPARAGRAPH (A) Char"/>
    <w:link w:val="SUBPARAGRAPHA"/>
    <w:rsid w:val="004841B2"/>
    <w:rPr>
      <w:lang w:val="en-US" w:eastAsia="en-US" w:bidi="ar-SA"/>
    </w:rPr>
  </w:style>
  <w:style w:type="character" w:customStyle="1" w:styleId="SECTIONHEADINGChar">
    <w:name w:val="SECTION HEADING Char"/>
    <w:link w:val="SECTIONHEADING"/>
    <w:rsid w:val="00F074B7"/>
    <w:rPr>
      <w:b/>
      <w:lang w:val="en-US" w:eastAsia="en-US" w:bidi="ar-SA"/>
    </w:rPr>
  </w:style>
  <w:style w:type="character" w:customStyle="1" w:styleId="SUBSECTIONaChar">
    <w:name w:val="SUBSECTION (a) Char"/>
    <w:link w:val="SUBSECTIONa"/>
    <w:rsid w:val="00F074B7"/>
    <w:rPr>
      <w:lang w:val="en-US" w:eastAsia="en-US" w:bidi="ar-SA"/>
    </w:rPr>
  </w:style>
  <w:style w:type="character" w:customStyle="1" w:styleId="PARAGRAPH1Char0">
    <w:name w:val="*PARAGRAPH (1) Char"/>
    <w:link w:val="PARAGRAPH10"/>
    <w:locked/>
    <w:rsid w:val="00F14E50"/>
  </w:style>
  <w:style w:type="paragraph" w:customStyle="1" w:styleId="PARAGRAPH10">
    <w:name w:val="*PARAGRAPH (1)"/>
    <w:link w:val="PARAGRAPH1Char0"/>
    <w:rsid w:val="00F14E50"/>
    <w:pPr>
      <w:tabs>
        <w:tab w:val="left" w:pos="1440"/>
      </w:tabs>
      <w:spacing w:before="120"/>
      <w:ind w:left="1440" w:hanging="720"/>
    </w:pPr>
  </w:style>
  <w:style w:type="paragraph" w:customStyle="1" w:styleId="SUBSECTIONa0">
    <w:name w:val="*SUBSECTION (a)"/>
    <w:rsid w:val="00C55E25"/>
    <w:pPr>
      <w:tabs>
        <w:tab w:val="left" w:pos="720"/>
      </w:tabs>
      <w:spacing w:before="12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4423">
      <w:bodyDiv w:val="1"/>
      <w:marLeft w:val="0"/>
      <w:marRight w:val="0"/>
      <w:marTop w:val="0"/>
      <w:marBottom w:val="0"/>
      <w:divBdr>
        <w:top w:val="none" w:sz="0" w:space="0" w:color="auto"/>
        <w:left w:val="none" w:sz="0" w:space="0" w:color="auto"/>
        <w:bottom w:val="none" w:sz="0" w:space="0" w:color="auto"/>
        <w:right w:val="none" w:sz="0" w:space="0" w:color="auto"/>
      </w:divBdr>
    </w:div>
    <w:div w:id="183254781">
      <w:bodyDiv w:val="1"/>
      <w:marLeft w:val="0"/>
      <w:marRight w:val="0"/>
      <w:marTop w:val="0"/>
      <w:marBottom w:val="0"/>
      <w:divBdr>
        <w:top w:val="none" w:sz="0" w:space="0" w:color="auto"/>
        <w:left w:val="none" w:sz="0" w:space="0" w:color="auto"/>
        <w:bottom w:val="none" w:sz="0" w:space="0" w:color="auto"/>
        <w:right w:val="none" w:sz="0" w:space="0" w:color="auto"/>
      </w:divBdr>
    </w:div>
    <w:div w:id="270748431">
      <w:bodyDiv w:val="1"/>
      <w:marLeft w:val="0"/>
      <w:marRight w:val="0"/>
      <w:marTop w:val="0"/>
      <w:marBottom w:val="0"/>
      <w:divBdr>
        <w:top w:val="none" w:sz="0" w:space="0" w:color="auto"/>
        <w:left w:val="none" w:sz="0" w:space="0" w:color="auto"/>
        <w:bottom w:val="none" w:sz="0" w:space="0" w:color="auto"/>
        <w:right w:val="none" w:sz="0" w:space="0" w:color="auto"/>
      </w:divBdr>
    </w:div>
    <w:div w:id="275528575">
      <w:bodyDiv w:val="1"/>
      <w:marLeft w:val="0"/>
      <w:marRight w:val="0"/>
      <w:marTop w:val="0"/>
      <w:marBottom w:val="0"/>
      <w:divBdr>
        <w:top w:val="none" w:sz="0" w:space="0" w:color="auto"/>
        <w:left w:val="none" w:sz="0" w:space="0" w:color="auto"/>
        <w:bottom w:val="none" w:sz="0" w:space="0" w:color="auto"/>
        <w:right w:val="none" w:sz="0" w:space="0" w:color="auto"/>
      </w:divBdr>
    </w:div>
    <w:div w:id="302931497">
      <w:bodyDiv w:val="1"/>
      <w:marLeft w:val="0"/>
      <w:marRight w:val="0"/>
      <w:marTop w:val="0"/>
      <w:marBottom w:val="0"/>
      <w:divBdr>
        <w:top w:val="none" w:sz="0" w:space="0" w:color="auto"/>
        <w:left w:val="none" w:sz="0" w:space="0" w:color="auto"/>
        <w:bottom w:val="none" w:sz="0" w:space="0" w:color="auto"/>
        <w:right w:val="none" w:sz="0" w:space="0" w:color="auto"/>
      </w:divBdr>
    </w:div>
    <w:div w:id="589700638">
      <w:bodyDiv w:val="1"/>
      <w:marLeft w:val="0"/>
      <w:marRight w:val="0"/>
      <w:marTop w:val="0"/>
      <w:marBottom w:val="0"/>
      <w:divBdr>
        <w:top w:val="none" w:sz="0" w:space="0" w:color="auto"/>
        <w:left w:val="none" w:sz="0" w:space="0" w:color="auto"/>
        <w:bottom w:val="none" w:sz="0" w:space="0" w:color="auto"/>
        <w:right w:val="none" w:sz="0" w:space="0" w:color="auto"/>
      </w:divBdr>
    </w:div>
    <w:div w:id="654839025">
      <w:bodyDiv w:val="1"/>
      <w:marLeft w:val="0"/>
      <w:marRight w:val="0"/>
      <w:marTop w:val="0"/>
      <w:marBottom w:val="0"/>
      <w:divBdr>
        <w:top w:val="none" w:sz="0" w:space="0" w:color="auto"/>
        <w:left w:val="none" w:sz="0" w:space="0" w:color="auto"/>
        <w:bottom w:val="none" w:sz="0" w:space="0" w:color="auto"/>
        <w:right w:val="none" w:sz="0" w:space="0" w:color="auto"/>
      </w:divBdr>
    </w:div>
    <w:div w:id="1123957178">
      <w:bodyDiv w:val="1"/>
      <w:marLeft w:val="0"/>
      <w:marRight w:val="0"/>
      <w:marTop w:val="0"/>
      <w:marBottom w:val="0"/>
      <w:divBdr>
        <w:top w:val="none" w:sz="0" w:space="0" w:color="auto"/>
        <w:left w:val="none" w:sz="0" w:space="0" w:color="auto"/>
        <w:bottom w:val="none" w:sz="0" w:space="0" w:color="auto"/>
        <w:right w:val="none" w:sz="0" w:space="0" w:color="auto"/>
      </w:divBdr>
    </w:div>
    <w:div w:id="1281258781">
      <w:bodyDiv w:val="1"/>
      <w:marLeft w:val="0"/>
      <w:marRight w:val="0"/>
      <w:marTop w:val="0"/>
      <w:marBottom w:val="0"/>
      <w:divBdr>
        <w:top w:val="none" w:sz="0" w:space="0" w:color="auto"/>
        <w:left w:val="none" w:sz="0" w:space="0" w:color="auto"/>
        <w:bottom w:val="none" w:sz="0" w:space="0" w:color="auto"/>
        <w:right w:val="none" w:sz="0" w:space="0" w:color="auto"/>
      </w:divBdr>
    </w:div>
    <w:div w:id="181102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DE520-E372-41EB-9D2C-0353F27E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Chapter 74. Curriculum Requirements</vt:lpstr>
    </vt:vector>
  </TitlesOfParts>
  <Company>TEA</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74. Curriculum Requirements</dc:title>
  <dc:subject/>
  <dc:creator>Texas Education Agency</dc:creator>
  <cp:keywords/>
  <cp:lastModifiedBy>Gunter, Amanda</cp:lastModifiedBy>
  <cp:revision>2</cp:revision>
  <cp:lastPrinted>1998-06-12T00:16:00Z</cp:lastPrinted>
  <dcterms:created xsi:type="dcterms:W3CDTF">2019-03-18T18:22:00Z</dcterms:created>
  <dcterms:modified xsi:type="dcterms:W3CDTF">2019-03-18T18:22:00Z</dcterms:modified>
</cp:coreProperties>
</file>